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335442D" w:rsidR="00996E29" w:rsidRPr="001C52FC" w:rsidRDefault="00113C1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B531B6F" w:rsidR="00996E29" w:rsidRPr="001D09FE" w:rsidRDefault="00113C1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12657B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>45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33EAC" w:rsidRPr="00433EAC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33EAC" w:rsidRPr="00433EAC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96E92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восемьсот 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FB4AF84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color w:val="000000"/>
        </w:rPr>
        <w:t>4</w:t>
      </w:r>
      <w:r w:rsidR="00113C16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FAC8F0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113C16" w:rsidRPr="00113C16">
        <w:rPr>
          <w:b/>
          <w:i/>
          <w:sz w:val="22"/>
          <w:szCs w:val="22"/>
        </w:rPr>
        <w:t>4</w:t>
      </w:r>
      <w:r w:rsidR="00113C16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>
        <w:rPr>
          <w:b/>
          <w:i/>
          <w:sz w:val="22"/>
          <w:szCs w:val="22"/>
        </w:rPr>
        <w:t>0</w:t>
      </w:r>
      <w:r w:rsidR="00113C16" w:rsidRPr="00113C16">
        <w:rPr>
          <w:b/>
          <w:i/>
          <w:sz w:val="22"/>
          <w:szCs w:val="22"/>
        </w:rPr>
        <w:t>9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283B121" w:rsidR="00610E7E" w:rsidRPr="00FC2AE6" w:rsidRDefault="00433E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96E92">
        <w:rPr>
          <w:b/>
          <w:bCs/>
          <w:i/>
          <w:iCs/>
          <w:sz w:val="22"/>
          <w:szCs w:val="22"/>
        </w:rPr>
        <w:t>3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496E92">
        <w:rPr>
          <w:b/>
          <w:bCs/>
          <w:i/>
          <w:iCs/>
          <w:sz w:val="22"/>
          <w:szCs w:val="22"/>
        </w:rPr>
        <w:t>Триста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38F899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C378A" w:rsidRPr="004C378A">
        <w:rPr>
          <w:b/>
          <w:bCs/>
          <w:i/>
          <w:iCs/>
          <w:color w:val="000000" w:themeColor="text1"/>
          <w:sz w:val="22"/>
          <w:szCs w:val="22"/>
        </w:rPr>
        <w:t>17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F3AD6" w:rsidRPr="004F3AD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4E5F9D01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113C16">
        <w:rPr>
          <w:rFonts w:ascii="Times New Roman" w:eastAsiaTheme="minorEastAsia" w:hAnsi="Times New Roman"/>
          <w:szCs w:val="20"/>
        </w:rPr>
        <w:t xml:space="preserve"> - 10 </w:t>
      </w:r>
    </w:p>
    <w:p w14:paraId="4517047B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1F13C9B6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1: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0%; </w:t>
      </w:r>
    </w:p>
    <w:p w14:paraId="552E1B97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2: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10%*K(j); </w:t>
      </w:r>
    </w:p>
    <w:p w14:paraId="64E54CD7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3: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0%; </w:t>
      </w:r>
    </w:p>
    <w:p w14:paraId="4BC1BDE7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4: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10%*K(j); </w:t>
      </w:r>
    </w:p>
    <w:p w14:paraId="629F330A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5: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0%; </w:t>
      </w:r>
    </w:p>
    <w:p w14:paraId="1075E499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6: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10%*K(j); </w:t>
      </w:r>
    </w:p>
    <w:p w14:paraId="15CF6C85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7: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0%; </w:t>
      </w:r>
    </w:p>
    <w:p w14:paraId="5182E0DD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8: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10%*K(j); </w:t>
      </w:r>
    </w:p>
    <w:p w14:paraId="24F9611E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9: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0%; </w:t>
      </w:r>
    </w:p>
    <w:p w14:paraId="0E0F85C8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szCs w:val="20"/>
        </w:rPr>
        <w:t>j = 10:</w:t>
      </w:r>
      <w:r w:rsidRPr="00113C16">
        <w:rPr>
          <w:rFonts w:ascii="Times New Roman" w:eastAsiaTheme="minorEastAsia" w:hAnsi="Times New Roman"/>
          <w:szCs w:val="20"/>
        </w:rPr>
        <w:t xml:space="preserve"> Ставка дополнительного дохода (j) = </w:t>
      </w:r>
      <m:oMath>
        <m:r>
          <w:rPr>
            <w:rFonts w:ascii="Cambria Math" w:eastAsiaTheme="minorEastAsia" w:hAnsi="Cambria Math"/>
            <w:szCs w:val="20"/>
          </w:rPr>
          <m:t>R*max</m:t>
        </m:r>
        <m:d>
          <m:dPr>
            <m:ctrlPr>
              <w:rPr>
                <w:rFonts w:ascii="Cambria Math" w:eastAsiaTheme="minorEastAsia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Theme="minorEastAsia" w:hAnsi="Cambria Math"/>
                <w:szCs w:val="20"/>
              </w:rPr>
              <m:t>-1;0</m:t>
            </m:r>
          </m:e>
        </m:d>
      </m:oMath>
      <w:r w:rsidRPr="00113C16">
        <w:rPr>
          <w:rFonts w:ascii="Times New Roman" w:eastAsiaTheme="minorEastAsia" w:hAnsi="Times New Roman"/>
          <w:szCs w:val="20"/>
        </w:rPr>
        <w:t xml:space="preserve">; </w:t>
      </w:r>
    </w:p>
    <w:p w14:paraId="048C00E2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szCs w:val="20"/>
        </w:rPr>
        <w:t>Где</w:t>
      </w:r>
    </w:p>
    <w:p w14:paraId="0A0A8C90" w14:textId="478F6780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113C16">
        <w:rPr>
          <w:rFonts w:ascii="Times New Roman" w:eastAsiaTheme="minorEastAsia" w:hAnsi="Times New Roman"/>
          <w:szCs w:val="20"/>
        </w:rPr>
        <w:t xml:space="preserve"> – величина </w:t>
      </w:r>
      <w:r w:rsidRPr="00113C16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113C16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113C16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1BF151A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K(j)</w:t>
      </w:r>
      <w:r w:rsidRPr="00113C16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S(j) / S(0) больше или равна величине Барьер(j) для Референсного актива; и значение, равное 0, в любом ином случае;</w:t>
      </w:r>
    </w:p>
    <w:p w14:paraId="2A996767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113C16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5A20B5E7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113C16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на соответствующей бирже Референсного актива в валюте Референсного актива. </w:t>
      </w:r>
    </w:p>
    <w:p w14:paraId="33EF56CE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Барьер (j)</w:t>
      </w:r>
      <w:r w:rsidRPr="00113C16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7FE1E849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j = 1:</w:t>
      </w:r>
      <w:r w:rsidRPr="00113C16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1899355A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j = 2:</w:t>
      </w:r>
      <w:r w:rsidRPr="00113C16">
        <w:rPr>
          <w:rFonts w:ascii="Times New Roman" w:eastAsiaTheme="minorEastAsia" w:hAnsi="Times New Roman"/>
          <w:szCs w:val="20"/>
        </w:rPr>
        <w:t xml:space="preserve"> 105%</w:t>
      </w:r>
    </w:p>
    <w:p w14:paraId="48A088D9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j = 3:</w:t>
      </w:r>
      <w:r w:rsidRPr="00113C16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51AECDCA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j = 4:</w:t>
      </w:r>
      <w:r w:rsidRPr="00113C16">
        <w:rPr>
          <w:rFonts w:ascii="Times New Roman" w:eastAsiaTheme="minorEastAsia" w:hAnsi="Times New Roman"/>
          <w:szCs w:val="20"/>
        </w:rPr>
        <w:t xml:space="preserve"> 105%</w:t>
      </w:r>
    </w:p>
    <w:p w14:paraId="3A1999DF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j = 5:</w:t>
      </w:r>
      <w:r w:rsidRPr="00113C16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0330D18A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j = 6:</w:t>
      </w:r>
      <w:r w:rsidRPr="00113C16">
        <w:rPr>
          <w:rFonts w:ascii="Times New Roman" w:eastAsiaTheme="minorEastAsia" w:hAnsi="Times New Roman"/>
          <w:szCs w:val="20"/>
        </w:rPr>
        <w:t xml:space="preserve"> 105%</w:t>
      </w:r>
    </w:p>
    <w:p w14:paraId="02E3403A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j = 7:</w:t>
      </w:r>
      <w:r w:rsidRPr="00113C16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6323A12D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j = 8:</w:t>
      </w:r>
      <w:r w:rsidRPr="00113C16">
        <w:rPr>
          <w:rFonts w:ascii="Times New Roman" w:eastAsiaTheme="minorEastAsia" w:hAnsi="Times New Roman"/>
          <w:szCs w:val="20"/>
        </w:rPr>
        <w:t xml:space="preserve"> 105%</w:t>
      </w:r>
    </w:p>
    <w:p w14:paraId="68EB1D59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j = 9:</w:t>
      </w:r>
      <w:r w:rsidRPr="00113C16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1ED1C802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lastRenderedPageBreak/>
        <w:t>j = 10:</w:t>
      </w:r>
      <w:r w:rsidRPr="00113C16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70F2C50C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113C16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Референсным активом.</w:t>
      </w:r>
    </w:p>
    <w:p w14:paraId="2C7E52C6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Дата определения дополнительного дохода (</w:t>
      </w:r>
      <w:r w:rsidRPr="00113C16">
        <w:rPr>
          <w:rFonts w:ascii="Times New Roman" w:eastAsiaTheme="minorEastAsia" w:hAnsi="Times New Roman"/>
          <w:b/>
          <w:bCs/>
          <w:i/>
          <w:iCs/>
          <w:szCs w:val="20"/>
          <w:lang w:val="en-US"/>
        </w:rPr>
        <w:t>j</w:t>
      </w: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 xml:space="preserve">): </w:t>
      </w:r>
    </w:p>
    <w:p w14:paraId="053A41B0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szCs w:val="20"/>
        </w:rPr>
        <w:t>Для всех периодов дополнительного дохода Датой определения дополнительного дохода является 2 (второй) Торговый День, предшествующий Дате выплаты дополнительного дохода.</w:t>
      </w:r>
      <w:r w:rsidRPr="00113C16">
        <w:rPr>
          <w:rFonts w:ascii="Times New Roman" w:eastAsiaTheme="minorEastAsia" w:hAnsi="Times New Roman"/>
          <w:szCs w:val="20"/>
        </w:rPr>
        <w:br/>
      </w:r>
      <w:r w:rsidRPr="00113C16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26F6A28E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5EC6DC1A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szCs w:val="20"/>
        </w:rPr>
        <w:t>Наименование: ВТБ Капитал Российские Лидеры 2.0</w:t>
      </w:r>
    </w:p>
    <w:p w14:paraId="0DF6CC55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szCs w:val="20"/>
        </w:rPr>
        <w:t>Источник цены (ссылка): https://index.vtbcapital.ru/VTBRUS2/</w:t>
      </w:r>
    </w:p>
    <w:p w14:paraId="50098828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индекса ВТБ Капитал Российские Лидеры 2.0 (VTBRUS2). </w:t>
      </w:r>
    </w:p>
    <w:p w14:paraId="18B957FA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970C573" w14:textId="77777777" w:rsidR="00113C16" w:rsidRPr="00113C16" w:rsidRDefault="00113C16" w:rsidP="00113C16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16538607" w14:textId="77777777" w:rsidR="00113C16" w:rsidRPr="00113C16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szCs w:val="20"/>
        </w:rPr>
        <w:t>Ставка дополнительного дохода (j) – размер процентной ставки для расчета величины дополнительного дохода, определяемый в порядке, указанном выше, в %;</w:t>
      </w:r>
    </w:p>
    <w:p w14:paraId="1D496554" w14:textId="77777777" w:rsidR="00113C16" w:rsidRPr="00433EAC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13C16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708F0906" w14:textId="77777777" w:rsidR="00113C16" w:rsidRPr="00433EAC" w:rsidRDefault="00113C16" w:rsidP="00113C16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</w:p>
    <w:p w14:paraId="482A56E2" w14:textId="23C1167E" w:rsidR="00F528F2" w:rsidRPr="00113C16" w:rsidRDefault="00113C16" w:rsidP="00113C1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36"/>
        </w:rPr>
      </w:pPr>
      <w:r w:rsidRPr="00113C16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113C16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4ABDD" w14:textId="77777777" w:rsidR="006A25D1" w:rsidRDefault="006A25D1" w:rsidP="0053664B">
      <w:pPr>
        <w:spacing w:after="0" w:line="240" w:lineRule="auto"/>
      </w:pPr>
      <w:r>
        <w:separator/>
      </w:r>
    </w:p>
  </w:endnote>
  <w:endnote w:type="continuationSeparator" w:id="0">
    <w:p w14:paraId="2C8F58A1" w14:textId="77777777" w:rsidR="006A25D1" w:rsidRDefault="006A25D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579AED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A1AAC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2184F" w14:textId="77777777" w:rsidR="006A25D1" w:rsidRDefault="006A25D1" w:rsidP="0053664B">
      <w:pPr>
        <w:spacing w:after="0" w:line="240" w:lineRule="auto"/>
      </w:pPr>
      <w:r>
        <w:separator/>
      </w:r>
    </w:p>
  </w:footnote>
  <w:footnote w:type="continuationSeparator" w:id="0">
    <w:p w14:paraId="11F062B5" w14:textId="77777777" w:rsidR="006A25D1" w:rsidRDefault="006A25D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3C16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3EAC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6E92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25D1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5E49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1AAC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691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30CEA6BA-C593-4179-8750-CEE6EEAB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EA0B-B173-4B5C-9CA9-B494F75D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4896</Words>
  <Characters>27911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2021-11-16T12:33:00Z</dcterms:created>
  <dcterms:modified xsi:type="dcterms:W3CDTF">2021-11-16T12:33:00Z</dcterms:modified>
</cp:coreProperties>
</file>